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D9" w:rsidRDefault="002306D9">
      <w:bookmarkStart w:id="0" w:name="_GoBack"/>
      <w:bookmarkEnd w:id="0"/>
    </w:p>
    <w:p w:rsidR="002306D9" w:rsidRPr="00403737" w:rsidRDefault="002306D9" w:rsidP="0093211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3"/>
        <w:gridCol w:w="2209"/>
      </w:tblGrid>
      <w:tr w:rsidR="002306D9" w:rsidRPr="00403737" w:rsidTr="00733D07">
        <w:tc>
          <w:tcPr>
            <w:tcW w:w="7088" w:type="dxa"/>
            <w:tcMar>
              <w:top w:w="57" w:type="dxa"/>
              <w:bottom w:w="57" w:type="dxa"/>
            </w:tcMar>
          </w:tcPr>
          <w:p w:rsidR="002306D9" w:rsidRPr="00403737" w:rsidRDefault="002306D9" w:rsidP="00A12893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</w:t>
            </w:r>
            <w:r w:rsidRPr="00403737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445E5">
              <w:rPr>
                <w:b/>
                <w:sz w:val="22"/>
                <w:szCs w:val="22"/>
              </w:rPr>
              <w:t>Bevezetés a Bibliába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Kreditértéke: </w:t>
            </w:r>
            <w:r w:rsidR="000445E5">
              <w:rPr>
                <w:b/>
                <w:sz w:val="22"/>
                <w:szCs w:val="22"/>
              </w:rPr>
              <w:t>3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B0991">
              <w:rPr>
                <w:sz w:val="22"/>
                <w:szCs w:val="22"/>
              </w:rPr>
              <w:t xml:space="preserve">A tantárgy </w:t>
            </w:r>
            <w:r w:rsidRPr="00BB0991">
              <w:rPr>
                <w:b/>
                <w:sz w:val="22"/>
                <w:szCs w:val="22"/>
              </w:rPr>
              <w:t>besorolása</w:t>
            </w:r>
            <w:r w:rsidRPr="00BB0991">
              <w:rPr>
                <w:sz w:val="22"/>
                <w:szCs w:val="22"/>
              </w:rPr>
              <w:t xml:space="preserve">: </w:t>
            </w:r>
            <w:r w:rsidRPr="00E00E83">
              <w:rPr>
                <w:sz w:val="22"/>
                <w:szCs w:val="22"/>
              </w:rPr>
              <w:t>kötelező</w:t>
            </w:r>
            <w:r>
              <w:rPr>
                <w:b/>
                <w:sz w:val="22"/>
                <w:szCs w:val="22"/>
              </w:rPr>
              <w:t>/v</w:t>
            </w:r>
            <w:r w:rsidRPr="00E00E83">
              <w:rPr>
                <w:b/>
                <w:sz w:val="22"/>
                <w:szCs w:val="22"/>
                <w:u w:val="single"/>
              </w:rPr>
              <w:t>álasztható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3F3A5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A tantárgy elméleti vagy gyakorlati jellegének mértéke, „képzési </w:t>
            </w:r>
            <w:proofErr w:type="gramStart"/>
            <w:r w:rsidRPr="00403737">
              <w:rPr>
                <w:b/>
                <w:sz w:val="22"/>
                <w:szCs w:val="22"/>
              </w:rPr>
              <w:t>karaktere</w:t>
            </w:r>
            <w:proofErr w:type="gramEnd"/>
            <w:r w:rsidRPr="00403737">
              <w:rPr>
                <w:b/>
                <w:sz w:val="22"/>
                <w:szCs w:val="22"/>
              </w:rPr>
              <w:t>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="0024083A">
              <w:rPr>
                <w:sz w:val="22"/>
                <w:szCs w:val="22"/>
              </w:rPr>
              <w:t xml:space="preserve">: </w:t>
            </w:r>
            <w:r w:rsidR="00E00E83">
              <w:rPr>
                <w:sz w:val="22"/>
                <w:szCs w:val="22"/>
              </w:rPr>
              <w:t>100</w:t>
            </w:r>
            <w:r w:rsidR="0024083A">
              <w:rPr>
                <w:sz w:val="22"/>
                <w:szCs w:val="22"/>
              </w:rPr>
              <w:t>% elmélet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403737">
              <w:rPr>
                <w:sz w:val="22"/>
                <w:szCs w:val="22"/>
              </w:rPr>
              <w:t xml:space="preserve">: </w:t>
            </w:r>
            <w:r w:rsidR="000445E5" w:rsidRPr="00E00E83">
              <w:rPr>
                <w:sz w:val="22"/>
                <w:szCs w:val="22"/>
                <w:u w:val="single"/>
              </w:rPr>
              <w:t>előadás</w:t>
            </w:r>
            <w:r w:rsidRPr="00E00E83">
              <w:rPr>
                <w:sz w:val="22"/>
                <w:szCs w:val="22"/>
                <w:u w:val="single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és </w:t>
            </w:r>
            <w:r w:rsidRPr="00E00E83">
              <w:rPr>
                <w:sz w:val="22"/>
                <w:szCs w:val="22"/>
              </w:rPr>
              <w:t>óraszáma</w:t>
            </w:r>
            <w:r>
              <w:rPr>
                <w:sz w:val="22"/>
                <w:szCs w:val="22"/>
              </w:rPr>
              <w:t xml:space="preserve">: </w:t>
            </w:r>
            <w:r w:rsidR="000445E5" w:rsidRPr="00E00E83">
              <w:rPr>
                <w:sz w:val="22"/>
                <w:szCs w:val="22"/>
                <w:u w:val="single"/>
              </w:rPr>
              <w:t>heti 2 óra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E00E83">
              <w:rPr>
                <w:sz w:val="22"/>
                <w:szCs w:val="22"/>
              </w:rPr>
              <w:t>félévben,</w:t>
            </w:r>
          </w:p>
          <w:p w:rsidR="002306D9" w:rsidRPr="00403737" w:rsidRDefault="002306D9" w:rsidP="00E161B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adott ismeret átadásában alkalmazandó </w:t>
            </w:r>
            <w:r w:rsidRPr="00403737">
              <w:rPr>
                <w:b/>
                <w:sz w:val="22"/>
                <w:szCs w:val="22"/>
              </w:rPr>
              <w:t>további</w:t>
            </w:r>
            <w:r w:rsidRPr="00403737">
              <w:rPr>
                <w:sz w:val="22"/>
                <w:szCs w:val="22"/>
              </w:rPr>
              <w:t xml:space="preserve"> 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módok, jellemzők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sz w:val="22"/>
                <w:szCs w:val="22"/>
              </w:rPr>
              <w:t>:</w:t>
            </w:r>
            <w:r w:rsidR="000445E5">
              <w:rPr>
                <w:sz w:val="22"/>
                <w:szCs w:val="22"/>
              </w:rPr>
              <w:t xml:space="preserve"> interaktív előadás. A hallgatók bevonása az előadások elkészítésébe, maguk is készítenek referátumokat, amelyeket megbeszélünk és kiegészítünk.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E00E83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  <w:u w:val="single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>
              <w:rPr>
                <w:sz w:val="22"/>
                <w:szCs w:val="22"/>
              </w:rPr>
              <w:t>módja (</w:t>
            </w: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spellStart"/>
            <w:r w:rsidRPr="00403737">
              <w:rPr>
                <w:sz w:val="22"/>
                <w:szCs w:val="22"/>
              </w:rPr>
              <w:t>gyj</w:t>
            </w:r>
            <w:proofErr w:type="spellEnd"/>
            <w:r w:rsidRPr="00403737">
              <w:rPr>
                <w:sz w:val="22"/>
                <w:szCs w:val="22"/>
              </w:rPr>
              <w:t xml:space="preserve">. / </w:t>
            </w:r>
            <w:r w:rsidRPr="00403737">
              <w:rPr>
                <w:b/>
                <w:sz w:val="22"/>
                <w:szCs w:val="22"/>
              </w:rPr>
              <w:t>egyéb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403737">
              <w:rPr>
                <w:b/>
                <w:sz w:val="22"/>
                <w:szCs w:val="22"/>
              </w:rPr>
              <w:t>)</w:t>
            </w:r>
            <w:r w:rsidRPr="00403737">
              <w:rPr>
                <w:sz w:val="22"/>
                <w:szCs w:val="22"/>
              </w:rPr>
              <w:t xml:space="preserve">: </w:t>
            </w:r>
            <w:r w:rsidR="000445E5" w:rsidRPr="00E00E83">
              <w:rPr>
                <w:sz w:val="22"/>
                <w:szCs w:val="22"/>
                <w:u w:val="single"/>
              </w:rPr>
              <w:t>kollokvium</w:t>
            </w:r>
          </w:p>
          <w:p w:rsidR="002306D9" w:rsidRPr="00403737" w:rsidRDefault="002306D9" w:rsidP="00E161B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441E1">
              <w:rPr>
                <w:b/>
                <w:sz w:val="22"/>
                <w:szCs w:val="22"/>
              </w:rPr>
              <w:t>A</w:t>
            </w:r>
            <w:r w:rsidR="000445E5">
              <w:rPr>
                <w:b/>
                <w:sz w:val="22"/>
                <w:szCs w:val="22"/>
              </w:rPr>
              <w:t>z anyag rövid, tömör visszakérdezése az órák bevezetőjeként egy-két fontosabb kérdés feltevésével</w:t>
            </w:r>
            <w:r w:rsidR="00E441E1">
              <w:rPr>
                <w:b/>
                <w:sz w:val="22"/>
                <w:szCs w:val="22"/>
              </w:rPr>
              <w:t>. Azaz folyamatos számonkérés.</w:t>
            </w:r>
            <w:r>
              <w:rPr>
                <w:b/>
                <w:sz w:val="22"/>
                <w:szCs w:val="22"/>
              </w:rPr>
              <w:t>........................... .................................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</w:t>
            </w:r>
            <w:r>
              <w:rPr>
                <w:sz w:val="22"/>
                <w:szCs w:val="22"/>
              </w:rPr>
              <w:t xml:space="preserve"> </w:t>
            </w:r>
            <w:r w:rsidR="00E00E83">
              <w:rPr>
                <w:sz w:val="22"/>
                <w:szCs w:val="22"/>
              </w:rPr>
              <w:t>szabadon választható</w:t>
            </w:r>
          </w:p>
        </w:tc>
      </w:tr>
      <w:tr w:rsidR="002306D9" w:rsidRPr="0040373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Előtanulmányi feltételek </w:t>
            </w:r>
            <w:r w:rsidRPr="00403737">
              <w:rPr>
                <w:i/>
                <w:sz w:val="22"/>
                <w:szCs w:val="22"/>
              </w:rPr>
              <w:t>(ha vannak)</w:t>
            </w:r>
            <w:r w:rsidR="000445E5">
              <w:rPr>
                <w:i/>
                <w:sz w:val="22"/>
                <w:szCs w:val="22"/>
              </w:rPr>
              <w:t xml:space="preserve"> </w:t>
            </w:r>
            <w:r w:rsidR="000445E5" w:rsidRPr="000445E5">
              <w:rPr>
                <w:sz w:val="22"/>
                <w:szCs w:val="22"/>
              </w:rPr>
              <w:t>nincsenek</w:t>
            </w:r>
          </w:p>
        </w:tc>
      </w:tr>
    </w:tbl>
    <w:p w:rsidR="002306D9" w:rsidRPr="00403737" w:rsidRDefault="002306D9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2306D9" w:rsidRPr="0040373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306D9" w:rsidRPr="00403737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306D9" w:rsidRPr="00403737" w:rsidTr="00733D07">
        <w:trPr>
          <w:trHeight w:val="280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B66C92" w:rsidRPr="00C678CC" w:rsidRDefault="00E110AD" w:rsidP="0024083A">
            <w:pPr>
              <w:ind w:left="29"/>
              <w:jc w:val="both"/>
              <w:rPr>
                <w:sz w:val="22"/>
                <w:szCs w:val="22"/>
              </w:rPr>
            </w:pPr>
            <w:r w:rsidRPr="00C678CC">
              <w:rPr>
                <w:sz w:val="22"/>
                <w:szCs w:val="22"/>
              </w:rPr>
              <w:t>A két részes Bibliába (Ó- és Újszövetség)</w:t>
            </w:r>
            <w:r w:rsidR="00B66C92" w:rsidRPr="00C678CC">
              <w:rPr>
                <w:sz w:val="22"/>
                <w:szCs w:val="22"/>
              </w:rPr>
              <w:t xml:space="preserve"> Eltérő számú bibliai könyveket tartalmazó bibliakiadások létezése és okai (a kánon kérdése</w:t>
            </w:r>
            <w:r w:rsidR="00F7735C" w:rsidRPr="00C678CC">
              <w:rPr>
                <w:sz w:val="22"/>
                <w:szCs w:val="22"/>
              </w:rPr>
              <w:t xml:space="preserve"> és a szöveg fejlődése, kialakulása</w:t>
            </w:r>
            <w:r w:rsidR="00B66C92" w:rsidRPr="00C678CC">
              <w:rPr>
                <w:sz w:val="22"/>
                <w:szCs w:val="22"/>
              </w:rPr>
              <w:t xml:space="preserve">). Az Ó- és Újszövetség közös felépítése. A héber és görög nyelvű biblia kiadások eltérő sorrendje és felépítése. </w:t>
            </w:r>
          </w:p>
          <w:p w:rsidR="00F7735C" w:rsidRPr="00C678CC" w:rsidRDefault="00B66C92" w:rsidP="0024083A">
            <w:pPr>
              <w:ind w:left="29"/>
              <w:jc w:val="both"/>
              <w:rPr>
                <w:sz w:val="22"/>
                <w:szCs w:val="22"/>
              </w:rPr>
            </w:pPr>
            <w:r w:rsidRPr="00C678CC">
              <w:rPr>
                <w:sz w:val="22"/>
                <w:szCs w:val="22"/>
              </w:rPr>
              <w:t>A Biblia fő témáinak taglalása. Mózes öt könyvének tartalma és keletkezése. A bibliai őstörténet részletes ismertetése (</w:t>
            </w:r>
            <w:proofErr w:type="spellStart"/>
            <w:r w:rsidRPr="00C678CC">
              <w:rPr>
                <w:sz w:val="22"/>
                <w:szCs w:val="22"/>
              </w:rPr>
              <w:t>pentateuchus</w:t>
            </w:r>
            <w:proofErr w:type="spellEnd"/>
            <w:r w:rsidRPr="00C678CC">
              <w:rPr>
                <w:sz w:val="22"/>
                <w:szCs w:val="22"/>
              </w:rPr>
              <w:t xml:space="preserve"> keletkezése, papi és </w:t>
            </w:r>
            <w:proofErr w:type="spellStart"/>
            <w:r w:rsidRPr="00C678CC">
              <w:rPr>
                <w:sz w:val="22"/>
                <w:szCs w:val="22"/>
              </w:rPr>
              <w:t>jahvista</w:t>
            </w:r>
            <w:proofErr w:type="spellEnd"/>
            <w:r w:rsidRPr="00C678CC">
              <w:rPr>
                <w:sz w:val="22"/>
                <w:szCs w:val="22"/>
              </w:rPr>
              <w:t xml:space="preserve"> teremtéstörténet, bűnbeesés története. </w:t>
            </w:r>
          </w:p>
          <w:p w:rsidR="00E110AD" w:rsidRPr="00C678CC" w:rsidRDefault="00B66C92" w:rsidP="0024083A">
            <w:pPr>
              <w:ind w:left="29"/>
              <w:jc w:val="both"/>
              <w:rPr>
                <w:sz w:val="22"/>
                <w:szCs w:val="22"/>
              </w:rPr>
            </w:pPr>
            <w:r w:rsidRPr="00C678CC">
              <w:rPr>
                <w:sz w:val="22"/>
                <w:szCs w:val="22"/>
              </w:rPr>
              <w:t>Költői szövegek ismertetése (Zsoltárok könyve, Prédikátor</w:t>
            </w:r>
            <w:proofErr w:type="gramStart"/>
            <w:r w:rsidRPr="00C678CC">
              <w:rPr>
                <w:sz w:val="22"/>
                <w:szCs w:val="22"/>
              </w:rPr>
              <w:t xml:space="preserve">, </w:t>
            </w:r>
            <w:r w:rsidR="00E110AD" w:rsidRPr="00C678CC">
              <w:rPr>
                <w:sz w:val="22"/>
                <w:szCs w:val="22"/>
              </w:rPr>
              <w:t xml:space="preserve"> </w:t>
            </w:r>
            <w:r w:rsidRPr="00C678CC">
              <w:rPr>
                <w:sz w:val="22"/>
                <w:szCs w:val="22"/>
              </w:rPr>
              <w:t>Jób</w:t>
            </w:r>
            <w:proofErr w:type="gramEnd"/>
            <w:r w:rsidRPr="00C678CC">
              <w:rPr>
                <w:sz w:val="22"/>
                <w:szCs w:val="22"/>
              </w:rPr>
              <w:t xml:space="preserve"> és az Énekek éneke)</w:t>
            </w:r>
            <w:r w:rsidR="00E441E1" w:rsidRPr="00C678CC">
              <w:rPr>
                <w:sz w:val="22"/>
                <w:szCs w:val="22"/>
              </w:rPr>
              <w:t>.</w:t>
            </w:r>
          </w:p>
          <w:p w:rsidR="00E441E1" w:rsidRPr="00C678CC" w:rsidRDefault="00E441E1" w:rsidP="0024083A">
            <w:pPr>
              <w:ind w:left="29"/>
              <w:jc w:val="both"/>
              <w:rPr>
                <w:sz w:val="22"/>
                <w:szCs w:val="22"/>
              </w:rPr>
            </w:pPr>
            <w:r w:rsidRPr="00C678CC">
              <w:rPr>
                <w:sz w:val="22"/>
                <w:szCs w:val="22"/>
              </w:rPr>
              <w:t xml:space="preserve">Az ószövetségi prófétaság története a próféták könyvei alapján (Izajás, Jeremiás, </w:t>
            </w:r>
            <w:proofErr w:type="spellStart"/>
            <w:r w:rsidRPr="00C678CC">
              <w:rPr>
                <w:sz w:val="22"/>
                <w:szCs w:val="22"/>
              </w:rPr>
              <w:t>Ezekiel</w:t>
            </w:r>
            <w:proofErr w:type="spellEnd"/>
            <w:r w:rsidRPr="00C678CC">
              <w:rPr>
                <w:sz w:val="22"/>
                <w:szCs w:val="22"/>
              </w:rPr>
              <w:t xml:space="preserve"> Dániel, </w:t>
            </w:r>
            <w:proofErr w:type="spellStart"/>
            <w:r w:rsidRPr="00C678CC">
              <w:rPr>
                <w:sz w:val="22"/>
                <w:szCs w:val="22"/>
              </w:rPr>
              <w:t>Ámosz</w:t>
            </w:r>
            <w:proofErr w:type="spellEnd"/>
            <w:r w:rsidRPr="00C678CC">
              <w:rPr>
                <w:sz w:val="22"/>
                <w:szCs w:val="22"/>
              </w:rPr>
              <w:t xml:space="preserve">, </w:t>
            </w:r>
            <w:proofErr w:type="spellStart"/>
            <w:r w:rsidRPr="00C678CC">
              <w:rPr>
                <w:sz w:val="22"/>
                <w:szCs w:val="22"/>
              </w:rPr>
              <w:t>Ózeás</w:t>
            </w:r>
            <w:proofErr w:type="spellEnd"/>
            <w:r w:rsidRPr="00C678CC">
              <w:rPr>
                <w:sz w:val="22"/>
                <w:szCs w:val="22"/>
              </w:rPr>
              <w:t xml:space="preserve"> és Jónás).</w:t>
            </w:r>
          </w:p>
          <w:p w:rsidR="00E110AD" w:rsidRPr="00C678CC" w:rsidRDefault="00E110AD" w:rsidP="002408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C678CC">
              <w:rPr>
                <w:sz w:val="22"/>
                <w:szCs w:val="22"/>
              </w:rPr>
              <w:t>Újszövetségi evangéliumok</w:t>
            </w:r>
            <w:r w:rsidR="00F7735C" w:rsidRPr="00C678CC">
              <w:rPr>
                <w:sz w:val="22"/>
                <w:szCs w:val="22"/>
              </w:rPr>
              <w:t xml:space="preserve"> </w:t>
            </w:r>
            <w:r w:rsidRPr="00C678CC">
              <w:rPr>
                <w:sz w:val="22"/>
                <w:szCs w:val="22"/>
              </w:rPr>
              <w:t>közös felépítés</w:t>
            </w:r>
            <w:r w:rsidR="00F7735C" w:rsidRPr="00C678CC">
              <w:rPr>
                <w:sz w:val="22"/>
                <w:szCs w:val="22"/>
              </w:rPr>
              <w:t>e (s</w:t>
            </w:r>
            <w:r w:rsidRPr="00C678CC">
              <w:rPr>
                <w:sz w:val="22"/>
                <w:szCs w:val="22"/>
              </w:rPr>
              <w:t>zinoptikus kérdés</w:t>
            </w:r>
            <w:r w:rsidR="00F7735C" w:rsidRPr="00C678CC">
              <w:rPr>
                <w:sz w:val="22"/>
                <w:szCs w:val="22"/>
              </w:rPr>
              <w:t>)</w:t>
            </w:r>
            <w:r w:rsidRPr="00C678CC">
              <w:rPr>
                <w:sz w:val="22"/>
                <w:szCs w:val="22"/>
              </w:rPr>
              <w:t>.</w:t>
            </w:r>
          </w:p>
          <w:p w:rsidR="00E110AD" w:rsidRPr="00C678CC" w:rsidRDefault="00E110AD" w:rsidP="0024083A">
            <w:pPr>
              <w:ind w:left="567" w:hanging="567"/>
              <w:jc w:val="both"/>
              <w:rPr>
                <w:sz w:val="22"/>
                <w:szCs w:val="22"/>
              </w:rPr>
            </w:pPr>
            <w:r w:rsidRPr="00C678CC">
              <w:rPr>
                <w:sz w:val="22"/>
                <w:szCs w:val="22"/>
              </w:rPr>
              <w:t xml:space="preserve"> Pál apostol élete, levelei</w:t>
            </w:r>
            <w:r w:rsidR="00F7735C" w:rsidRPr="00C678CC">
              <w:rPr>
                <w:sz w:val="22"/>
                <w:szCs w:val="22"/>
              </w:rPr>
              <w:t xml:space="preserve">. A levelek </w:t>
            </w:r>
            <w:r w:rsidRPr="00C678CC">
              <w:rPr>
                <w:sz w:val="22"/>
                <w:szCs w:val="22"/>
              </w:rPr>
              <w:t>teológiája, antropológiája</w:t>
            </w:r>
            <w:r w:rsidR="00F7735C" w:rsidRPr="00C678CC">
              <w:rPr>
                <w:sz w:val="22"/>
                <w:szCs w:val="22"/>
              </w:rPr>
              <w:t>. Pál</w:t>
            </w:r>
            <w:r w:rsidRPr="00C678CC">
              <w:rPr>
                <w:sz w:val="22"/>
                <w:szCs w:val="22"/>
              </w:rPr>
              <w:t xml:space="preserve"> munkatársai.</w:t>
            </w:r>
          </w:p>
          <w:p w:rsidR="00E110AD" w:rsidRPr="00C678CC" w:rsidRDefault="00E110AD" w:rsidP="0024083A">
            <w:pPr>
              <w:ind w:left="29"/>
              <w:rPr>
                <w:sz w:val="22"/>
                <w:szCs w:val="22"/>
              </w:rPr>
            </w:pPr>
            <w:r w:rsidRPr="00C678CC">
              <w:rPr>
                <w:sz w:val="22"/>
                <w:szCs w:val="22"/>
              </w:rPr>
              <w:t xml:space="preserve">János evangéliuma. Keletkezési helye, szerzője, kinek írták? Tartalma, felépítése, formája. Irodalmi egysége, hagyományai, forrásai alapvető teológiai gondolatai. a jánosi közösség filozófiai és vallási miliője.  </w:t>
            </w:r>
          </w:p>
          <w:p w:rsidR="00E110AD" w:rsidRPr="00C678CC" w:rsidRDefault="00E110AD" w:rsidP="00E110AD">
            <w:pPr>
              <w:numPr>
                <w:ilvl w:val="12"/>
                <w:numId w:val="0"/>
              </w:numPr>
              <w:spacing w:before="120"/>
              <w:ind w:firstLine="180"/>
              <w:jc w:val="both"/>
              <w:rPr>
                <w:b/>
                <w:bCs/>
                <w:sz w:val="22"/>
                <w:szCs w:val="22"/>
              </w:rPr>
            </w:pPr>
          </w:p>
          <w:p w:rsidR="00E110AD" w:rsidRPr="00C678CC" w:rsidRDefault="00E110AD" w:rsidP="00E110AD">
            <w:pPr>
              <w:numPr>
                <w:ilvl w:val="12"/>
                <w:numId w:val="0"/>
              </w:numPr>
              <w:spacing w:before="120"/>
              <w:ind w:firstLine="180"/>
              <w:jc w:val="both"/>
              <w:rPr>
                <w:sz w:val="22"/>
                <w:szCs w:val="22"/>
              </w:rPr>
            </w:pPr>
            <w:r w:rsidRPr="00C678CC">
              <w:rPr>
                <w:b/>
                <w:bCs/>
                <w:sz w:val="22"/>
                <w:szCs w:val="22"/>
              </w:rPr>
              <w:t>A kurzus célja:</w:t>
            </w:r>
            <w:r w:rsidRPr="00C678CC">
              <w:rPr>
                <w:sz w:val="22"/>
                <w:szCs w:val="22"/>
              </w:rPr>
              <w:t xml:space="preserve"> A Biblia (Ó- és Újszövetség) történetei, gondolatvilág, kép-világa és értékrendje az európai és ez által a magyar kultúra alapját is képezi. Ezért a Biblia számunkra nemcsak keresztény vallásunk alapkönyve, hanem kultúrtörténeti, irodalomtörténeti és művészettörténeti “értelmező szótár” is. Ez azt jelenti, hogy ha nem ismerjük a Bibliát, akkor festmények, színművek, versek, filmek és egyéb más kulturális alkotások üzenetét sem tudjuk igazán megérteni. Ebből a szempontból tehát a Biblia világának ismerete minden ember általános műveltségének része kell, hogy legyen.</w:t>
            </w:r>
          </w:p>
          <w:p w:rsidR="00E110AD" w:rsidRPr="00C678CC" w:rsidRDefault="00E110AD" w:rsidP="00E110AD">
            <w:pPr>
              <w:numPr>
                <w:ilvl w:val="12"/>
                <w:numId w:val="0"/>
              </w:numPr>
              <w:ind w:firstLine="180"/>
              <w:jc w:val="both"/>
              <w:rPr>
                <w:sz w:val="22"/>
                <w:szCs w:val="22"/>
              </w:rPr>
            </w:pPr>
          </w:p>
          <w:p w:rsidR="00E110AD" w:rsidRPr="00C678CC" w:rsidRDefault="00E110AD" w:rsidP="00E110AD">
            <w:pPr>
              <w:numPr>
                <w:ilvl w:val="12"/>
                <w:numId w:val="0"/>
              </w:numPr>
              <w:ind w:firstLine="180"/>
              <w:jc w:val="both"/>
              <w:rPr>
                <w:sz w:val="22"/>
                <w:szCs w:val="22"/>
              </w:rPr>
            </w:pPr>
            <w:r w:rsidRPr="00C678CC">
              <w:rPr>
                <w:sz w:val="22"/>
                <w:szCs w:val="22"/>
              </w:rPr>
              <w:lastRenderedPageBreak/>
              <w:t xml:space="preserve">Foglalkozunk az Ószövetség keletkezéstörténetével beleágyazva a zsidó nép történetébe. Kiemelve ezzel történeti létük és vallásuk gyöke-res összefonódását. Ezt azonban nem tehetjük meg anélkül, hogy ne tekintenénk ki a Közel-Kelet történelmi, vallási és irodalmi múltjára. A Biblia szövegeit olvasva felfedezzük a párhuzamokat más ősi kultúrákhoz, de ugyanakkor kiemeljük a monoteista vallás hitvilágának sajátosságait. </w:t>
            </w:r>
          </w:p>
          <w:p w:rsidR="00E110AD" w:rsidRPr="00C678CC" w:rsidRDefault="00E110AD" w:rsidP="00E110AD">
            <w:pPr>
              <w:pStyle w:val="Szvegtrzs"/>
              <w:numPr>
                <w:ilvl w:val="12"/>
                <w:numId w:val="0"/>
              </w:numPr>
              <w:ind w:firstLine="180"/>
              <w:rPr>
                <w:sz w:val="22"/>
                <w:szCs w:val="22"/>
              </w:rPr>
            </w:pPr>
            <w:r w:rsidRPr="00C678CC">
              <w:rPr>
                <w:sz w:val="22"/>
                <w:szCs w:val="22"/>
              </w:rPr>
              <w:t xml:space="preserve">A Jézus-korabeli zsidó </w:t>
            </w:r>
            <w:proofErr w:type="gramStart"/>
            <w:r w:rsidRPr="00C678CC">
              <w:rPr>
                <w:sz w:val="22"/>
                <w:szCs w:val="22"/>
              </w:rPr>
              <w:t>állam vallási</w:t>
            </w:r>
            <w:proofErr w:type="gramEnd"/>
            <w:r w:rsidRPr="00C678CC">
              <w:rPr>
                <w:sz w:val="22"/>
                <w:szCs w:val="22"/>
              </w:rPr>
              <w:t xml:space="preserve">, és politikai helyzetén keresztül fogjuk megérteni igazán, miben és miért volt Jézus tanítása forradalmi, de ugyanakkor erőszakmentes. Az Újszövetség könyveinek keletkezéstörténetén keresztül pedig belelátunk az első keresztény közösségek életébe is: megismerjük hitvilágukat, problémáikat és mindennapi gondjaikat, örömeiket. </w:t>
            </w:r>
          </w:p>
          <w:p w:rsidR="002306D9" w:rsidRPr="005F537A" w:rsidRDefault="002306D9" w:rsidP="00CA40DB">
            <w:pPr>
              <w:rPr>
                <w:sz w:val="24"/>
                <w:szCs w:val="24"/>
              </w:rPr>
            </w:pPr>
          </w:p>
        </w:tc>
      </w:tr>
      <w:tr w:rsidR="002306D9" w:rsidRPr="0040373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306D9" w:rsidRDefault="002306D9" w:rsidP="00733D07">
            <w:pPr>
              <w:suppressAutoHyphens/>
              <w:ind w:right="-108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lastRenderedPageBreak/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  <w:p w:rsidR="0078197A" w:rsidRPr="00403737" w:rsidRDefault="0078197A" w:rsidP="00C678CC">
            <w:pPr>
              <w:suppressAutoHyphens/>
              <w:ind w:left="596" w:right="-108" w:hanging="596"/>
              <w:rPr>
                <w:b/>
                <w:sz w:val="22"/>
                <w:szCs w:val="22"/>
              </w:rPr>
            </w:pPr>
          </w:p>
        </w:tc>
      </w:tr>
      <w:tr w:rsidR="002306D9" w:rsidRPr="00403737" w:rsidTr="00733D07"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678CC" w:rsidRPr="00DD1A7A" w:rsidRDefault="00585A1B" w:rsidP="00C678CC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585A1B">
              <w:rPr>
                <w:sz w:val="24"/>
                <w:szCs w:val="24"/>
              </w:rPr>
              <w:t xml:space="preserve"> </w:t>
            </w:r>
            <w:r w:rsidR="00C678CC" w:rsidRPr="00DD1A7A">
              <w:rPr>
                <w:b/>
                <w:sz w:val="22"/>
                <w:szCs w:val="22"/>
              </w:rPr>
              <w:t>Kötelező irodalom:</w:t>
            </w:r>
          </w:p>
          <w:p w:rsidR="00C678CC" w:rsidRDefault="00C678CC" w:rsidP="00C678CC">
            <w:pPr>
              <w:suppressAutoHyphens/>
              <w:ind w:left="596" w:right="-108" w:hanging="59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Kocsi György, Bibliaismeret (tanári kézirat).</w:t>
            </w:r>
          </w:p>
          <w:p w:rsidR="00C678CC" w:rsidRDefault="00C678CC" w:rsidP="00C678CC">
            <w:pPr>
              <w:suppressAutoHyphens/>
              <w:ind w:left="596" w:right="-108" w:hanging="59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Ajánlott irodalom: </w:t>
            </w:r>
          </w:p>
          <w:p w:rsidR="00C678CC" w:rsidRDefault="00C678CC" w:rsidP="00C678CC">
            <w:pPr>
              <w:suppressAutoHyphens/>
              <w:ind w:left="596" w:right="-108" w:hanging="59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 és David Alexander (</w:t>
            </w:r>
            <w:proofErr w:type="spellStart"/>
            <w:r>
              <w:rPr>
                <w:b/>
                <w:sz w:val="22"/>
                <w:szCs w:val="22"/>
              </w:rPr>
              <w:t>Szerk</w:t>
            </w:r>
            <w:proofErr w:type="spellEnd"/>
            <w:r>
              <w:rPr>
                <w:b/>
                <w:sz w:val="22"/>
                <w:szCs w:val="22"/>
              </w:rPr>
              <w:t xml:space="preserve">.), </w:t>
            </w:r>
            <w:proofErr w:type="spellStart"/>
            <w:r>
              <w:rPr>
                <w:b/>
                <w:sz w:val="22"/>
                <w:szCs w:val="22"/>
              </w:rPr>
              <w:t>Kéziköny</w:t>
            </w:r>
            <w:proofErr w:type="spellEnd"/>
            <w:r>
              <w:rPr>
                <w:b/>
                <w:sz w:val="22"/>
                <w:szCs w:val="22"/>
              </w:rPr>
              <w:t xml:space="preserve"> a Bibliához, </w:t>
            </w:r>
            <w:proofErr w:type="spellStart"/>
            <w:r>
              <w:rPr>
                <w:b/>
                <w:sz w:val="22"/>
                <w:szCs w:val="22"/>
              </w:rPr>
              <w:t>Scolar</w:t>
            </w:r>
            <w:proofErr w:type="spellEnd"/>
            <w:r>
              <w:rPr>
                <w:b/>
                <w:sz w:val="22"/>
                <w:szCs w:val="22"/>
              </w:rPr>
              <w:t xml:space="preserve"> Kiadó, Budapest, 2014. ISBN 978-963-244-526-7 (Neves amerikai biblikusok műve 816 oldalnyi terjedelemben). </w:t>
            </w:r>
          </w:p>
          <w:p w:rsidR="00C678CC" w:rsidRDefault="00C678CC" w:rsidP="00C678CC">
            <w:pPr>
              <w:suppressAutoHyphens/>
              <w:ind w:left="596" w:right="-108" w:hanging="596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Horst</w:t>
            </w:r>
            <w:proofErr w:type="spellEnd"/>
            <w:r>
              <w:rPr>
                <w:b/>
                <w:sz w:val="22"/>
                <w:szCs w:val="22"/>
              </w:rPr>
              <w:t xml:space="preserve"> Dietrich </w:t>
            </w:r>
            <w:proofErr w:type="spellStart"/>
            <w:r>
              <w:rPr>
                <w:b/>
                <w:sz w:val="22"/>
                <w:szCs w:val="22"/>
              </w:rPr>
              <w:t>Preuß</w:t>
            </w:r>
            <w:proofErr w:type="spellEnd"/>
            <w:r>
              <w:rPr>
                <w:b/>
                <w:sz w:val="22"/>
                <w:szCs w:val="22"/>
              </w:rPr>
              <w:t xml:space="preserve"> – Klaus Berger, </w:t>
            </w:r>
            <w:proofErr w:type="spellStart"/>
            <w:r>
              <w:rPr>
                <w:b/>
                <w:sz w:val="22"/>
                <w:szCs w:val="22"/>
              </w:rPr>
              <w:t>Bibelkunde</w:t>
            </w:r>
            <w:proofErr w:type="spellEnd"/>
            <w:r>
              <w:rPr>
                <w:b/>
                <w:sz w:val="22"/>
                <w:szCs w:val="22"/>
              </w:rPr>
              <w:t xml:space="preserve"> des </w:t>
            </w:r>
            <w:proofErr w:type="spellStart"/>
            <w:r>
              <w:rPr>
                <w:b/>
                <w:sz w:val="22"/>
                <w:szCs w:val="22"/>
              </w:rPr>
              <w:t>Alten</w:t>
            </w:r>
            <w:proofErr w:type="spellEnd"/>
            <w:r>
              <w:rPr>
                <w:b/>
                <w:sz w:val="22"/>
                <w:szCs w:val="22"/>
              </w:rPr>
              <w:t xml:space="preserve"> und </w:t>
            </w:r>
            <w:proofErr w:type="spellStart"/>
            <w:r>
              <w:rPr>
                <w:b/>
                <w:sz w:val="22"/>
                <w:szCs w:val="22"/>
              </w:rPr>
              <w:t>Neuen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Testaments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 xml:space="preserve">,  </w:t>
            </w:r>
            <w:proofErr w:type="spellStart"/>
            <w:r>
              <w:rPr>
                <w:b/>
                <w:sz w:val="22"/>
                <w:szCs w:val="22"/>
              </w:rPr>
              <w:t>Erster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Teil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</w:rPr>
              <w:t>Altes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Testament</w:t>
            </w:r>
            <w:proofErr w:type="spellEnd"/>
          </w:p>
          <w:p w:rsidR="00C678CC" w:rsidRDefault="00C678CC" w:rsidP="00C678CC">
            <w:pPr>
              <w:suppressAutoHyphens/>
              <w:ind w:left="596" w:right="-108" w:hanging="59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UTB Stuttgart, 7. kiadás, 2003.</w:t>
            </w:r>
          </w:p>
          <w:p w:rsidR="00C678CC" w:rsidRPr="0078197A" w:rsidRDefault="00C678CC" w:rsidP="00C678C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78197A">
              <w:rPr>
                <w:b/>
                <w:bCs/>
                <w:sz w:val="24"/>
                <w:szCs w:val="24"/>
              </w:rPr>
              <w:t>ISBN-10:</w:t>
            </w:r>
            <w:r w:rsidRPr="0078197A">
              <w:rPr>
                <w:sz w:val="24"/>
                <w:szCs w:val="24"/>
              </w:rPr>
              <w:t xml:space="preserve"> 3825208877 </w:t>
            </w:r>
          </w:p>
          <w:p w:rsidR="00C678CC" w:rsidRDefault="00C678CC" w:rsidP="00C678CC">
            <w:pPr>
              <w:suppressAutoHyphens/>
              <w:ind w:left="596" w:right="-108" w:hanging="5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78197A">
              <w:rPr>
                <w:b/>
                <w:bCs/>
                <w:sz w:val="24"/>
                <w:szCs w:val="24"/>
              </w:rPr>
              <w:t>ISBN-13:</w:t>
            </w:r>
            <w:r w:rsidRPr="0078197A">
              <w:rPr>
                <w:sz w:val="24"/>
                <w:szCs w:val="24"/>
              </w:rPr>
              <w:t xml:space="preserve"> 978-3825208875</w:t>
            </w:r>
          </w:p>
          <w:p w:rsidR="00C678CC" w:rsidRDefault="00C678CC" w:rsidP="00C678CC">
            <w:pPr>
              <w:suppressAutoHyphens/>
              <w:ind w:left="596" w:right="-108" w:hanging="596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Heinrich </w:t>
            </w:r>
            <w:proofErr w:type="gramStart"/>
            <w:r>
              <w:rPr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Mertens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Handbuch</w:t>
            </w:r>
            <w:proofErr w:type="spellEnd"/>
            <w:r>
              <w:rPr>
                <w:b/>
                <w:sz w:val="22"/>
                <w:szCs w:val="22"/>
              </w:rPr>
              <w:t xml:space="preserve"> der </w:t>
            </w:r>
            <w:proofErr w:type="spellStart"/>
            <w:r>
              <w:rPr>
                <w:b/>
                <w:sz w:val="22"/>
                <w:szCs w:val="22"/>
              </w:rPr>
              <w:t>Bibelkunde</w:t>
            </w:r>
            <w:proofErr w:type="spellEnd"/>
          </w:p>
          <w:p w:rsidR="00C678CC" w:rsidRDefault="00C678CC" w:rsidP="00C678CC">
            <w:pPr>
              <w:suppressAutoHyphens/>
              <w:ind w:left="596" w:right="-108" w:hanging="596"/>
            </w:pPr>
            <w:r>
              <w:t xml:space="preserve">      </w:t>
            </w:r>
            <w:proofErr w:type="spellStart"/>
            <w:r>
              <w:t>Patmos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 xml:space="preserve">; </w:t>
            </w:r>
            <w:proofErr w:type="spellStart"/>
            <w:r>
              <w:t>Nachdr</w:t>
            </w:r>
            <w:proofErr w:type="spellEnd"/>
            <w:r>
              <w:t>. d. 2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neubearb</w:t>
            </w:r>
            <w:proofErr w:type="spellEnd"/>
            <w:r>
              <w:t xml:space="preserve">. A. 1984, </w:t>
            </w:r>
            <w:proofErr w:type="spellStart"/>
            <w:r>
              <w:t>edition</w:t>
            </w:r>
            <w:proofErr w:type="spellEnd"/>
            <w:r>
              <w:t xml:space="preserve"> 1997.</w:t>
            </w:r>
          </w:p>
          <w:p w:rsidR="00C678CC" w:rsidRPr="00585A1B" w:rsidRDefault="00C678CC" w:rsidP="00C678CC">
            <w:pPr>
              <w:rPr>
                <w:sz w:val="24"/>
                <w:szCs w:val="24"/>
              </w:rPr>
            </w:pPr>
            <w:r w:rsidRPr="00585A1B">
              <w:rPr>
                <w:b/>
                <w:bCs/>
                <w:sz w:val="24"/>
                <w:szCs w:val="24"/>
              </w:rPr>
              <w:t>ISBN-10:</w:t>
            </w:r>
            <w:r w:rsidRPr="00585A1B">
              <w:rPr>
                <w:sz w:val="24"/>
                <w:szCs w:val="24"/>
              </w:rPr>
              <w:t xml:space="preserve"> 3491770211 </w:t>
            </w:r>
          </w:p>
          <w:p w:rsidR="00C678CC" w:rsidRDefault="00C678CC" w:rsidP="00C678C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85A1B">
              <w:rPr>
                <w:b/>
                <w:bCs/>
                <w:sz w:val="24"/>
                <w:szCs w:val="24"/>
              </w:rPr>
              <w:t>ISBN-13:</w:t>
            </w:r>
            <w:r w:rsidRPr="00585A1B">
              <w:rPr>
                <w:sz w:val="24"/>
                <w:szCs w:val="24"/>
              </w:rPr>
              <w:t xml:space="preserve"> 978-3491770218</w:t>
            </w:r>
          </w:p>
          <w:p w:rsidR="00C678CC" w:rsidRDefault="00C678CC" w:rsidP="00C678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Horst</w:t>
            </w:r>
            <w:proofErr w:type="spellEnd"/>
            <w:r>
              <w:rPr>
                <w:b/>
                <w:sz w:val="22"/>
                <w:szCs w:val="22"/>
              </w:rPr>
              <w:t xml:space="preserve"> Dietrich </w:t>
            </w:r>
            <w:proofErr w:type="spellStart"/>
            <w:r>
              <w:rPr>
                <w:b/>
                <w:sz w:val="22"/>
                <w:szCs w:val="22"/>
              </w:rPr>
              <w:t>Preuß</w:t>
            </w:r>
            <w:proofErr w:type="spellEnd"/>
            <w:r>
              <w:rPr>
                <w:b/>
                <w:sz w:val="22"/>
                <w:szCs w:val="22"/>
              </w:rPr>
              <w:t xml:space="preserve"> – Klaus Berger, </w:t>
            </w:r>
            <w:proofErr w:type="spellStart"/>
            <w:r>
              <w:rPr>
                <w:b/>
                <w:sz w:val="22"/>
                <w:szCs w:val="22"/>
              </w:rPr>
              <w:t>Bibelkunde</w:t>
            </w:r>
            <w:proofErr w:type="spellEnd"/>
            <w:r>
              <w:rPr>
                <w:b/>
                <w:sz w:val="22"/>
                <w:szCs w:val="22"/>
              </w:rPr>
              <w:t xml:space="preserve"> des </w:t>
            </w:r>
            <w:proofErr w:type="spellStart"/>
            <w:r>
              <w:rPr>
                <w:b/>
                <w:sz w:val="22"/>
                <w:szCs w:val="22"/>
              </w:rPr>
              <w:t>Alten</w:t>
            </w:r>
            <w:proofErr w:type="spellEnd"/>
            <w:r>
              <w:rPr>
                <w:b/>
                <w:sz w:val="22"/>
                <w:szCs w:val="22"/>
              </w:rPr>
              <w:t xml:space="preserve"> und </w:t>
            </w:r>
            <w:proofErr w:type="spellStart"/>
            <w:r>
              <w:rPr>
                <w:b/>
                <w:sz w:val="22"/>
                <w:szCs w:val="22"/>
              </w:rPr>
              <w:t>Neuen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Testaments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 xml:space="preserve">,  </w:t>
            </w:r>
            <w:proofErr w:type="spellStart"/>
            <w:r>
              <w:rPr>
                <w:b/>
                <w:sz w:val="22"/>
                <w:szCs w:val="22"/>
              </w:rPr>
              <w:t>Zweiter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Teil</w:t>
            </w:r>
            <w:proofErr w:type="spellEnd"/>
            <w:r>
              <w:rPr>
                <w:b/>
                <w:sz w:val="22"/>
                <w:szCs w:val="22"/>
              </w:rPr>
              <w:t xml:space="preserve">: Neues </w:t>
            </w:r>
            <w:proofErr w:type="spellStart"/>
            <w:r>
              <w:rPr>
                <w:b/>
                <w:sz w:val="22"/>
                <w:szCs w:val="22"/>
              </w:rPr>
              <w:t>Testament</w:t>
            </w:r>
            <w:proofErr w:type="spellEnd"/>
          </w:p>
          <w:p w:rsidR="00C678CC" w:rsidRDefault="00C678CC" w:rsidP="00C6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UTB Stuttgart</w:t>
            </w:r>
            <w:proofErr w:type="gramStart"/>
            <w:r>
              <w:rPr>
                <w:sz w:val="24"/>
                <w:szCs w:val="24"/>
              </w:rPr>
              <w:t>,  6</w:t>
            </w:r>
            <w:proofErr w:type="gramEnd"/>
            <w:r>
              <w:rPr>
                <w:sz w:val="24"/>
                <w:szCs w:val="24"/>
              </w:rPr>
              <w:t>. kiadás 2002.</w:t>
            </w:r>
          </w:p>
          <w:p w:rsidR="00C678CC" w:rsidRDefault="00C678CC" w:rsidP="00C6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Quelle + Meyer </w:t>
            </w:r>
          </w:p>
          <w:p w:rsidR="00C678CC" w:rsidRPr="00DD1A7A" w:rsidRDefault="00C678CC" w:rsidP="00C678CC">
            <w:pPr>
              <w:rPr>
                <w:sz w:val="24"/>
                <w:szCs w:val="24"/>
              </w:rPr>
            </w:pPr>
            <w:r w:rsidRPr="00DD1A7A">
              <w:rPr>
                <w:b/>
                <w:bCs/>
                <w:sz w:val="24"/>
                <w:szCs w:val="24"/>
              </w:rPr>
              <w:t>ISBN-10:</w:t>
            </w:r>
            <w:r w:rsidRPr="00DD1A7A">
              <w:rPr>
                <w:sz w:val="24"/>
                <w:szCs w:val="24"/>
              </w:rPr>
              <w:t xml:space="preserve"> 3494021856 </w:t>
            </w:r>
          </w:p>
          <w:p w:rsidR="00DD1A7A" w:rsidRPr="00C678CC" w:rsidRDefault="00C678CC" w:rsidP="00C678CC">
            <w:pPr>
              <w:suppressAutoHyphens/>
              <w:ind w:left="596" w:right="-108" w:hanging="596"/>
              <w:rPr>
                <w:b/>
                <w:sz w:val="22"/>
                <w:szCs w:val="22"/>
              </w:rPr>
            </w:pPr>
            <w:r w:rsidRPr="00DD1A7A">
              <w:rPr>
                <w:b/>
                <w:bCs/>
                <w:sz w:val="24"/>
                <w:szCs w:val="24"/>
              </w:rPr>
              <w:t>ISBN-13:</w:t>
            </w:r>
            <w:r w:rsidRPr="00DD1A7A">
              <w:rPr>
                <w:sz w:val="24"/>
                <w:szCs w:val="24"/>
              </w:rPr>
              <w:t xml:space="preserve"> 978-3494021850</w:t>
            </w:r>
          </w:p>
        </w:tc>
      </w:tr>
      <w:tr w:rsidR="002306D9" w:rsidRPr="0040373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306D9" w:rsidRPr="00403737" w:rsidTr="00733D07">
        <w:trPr>
          <w:trHeight w:val="296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82A67" w:rsidRDefault="002306D9" w:rsidP="0093211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Tudása</w:t>
            </w:r>
            <w:r w:rsidR="00382A67">
              <w:rPr>
                <w:b/>
                <w:sz w:val="22"/>
                <w:szCs w:val="22"/>
              </w:rPr>
              <w:t xml:space="preserve"> </w:t>
            </w:r>
          </w:p>
          <w:p w:rsidR="002306D9" w:rsidRDefault="00382A67" w:rsidP="00382A67">
            <w:pPr>
              <w:tabs>
                <w:tab w:val="left" w:pos="317"/>
              </w:tabs>
              <w:suppressAutoHyphens/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Ismerni és érteni fogja kezdő szinten a Bibliával kapcsolatban felmerülő problémákat, s azok beépülnek általános műveltségébe – jelentősen bővítve azokat.</w:t>
            </w:r>
          </w:p>
          <w:p w:rsidR="002306D9" w:rsidRDefault="002306D9" w:rsidP="00C678CC">
            <w:pPr>
              <w:tabs>
                <w:tab w:val="left" w:pos="317"/>
              </w:tabs>
              <w:suppressAutoHyphens/>
              <w:ind w:left="34"/>
              <w:rPr>
                <w:b/>
                <w:sz w:val="22"/>
                <w:szCs w:val="22"/>
              </w:rPr>
            </w:pPr>
          </w:p>
          <w:p w:rsidR="00C678CC" w:rsidRPr="00BB0991" w:rsidRDefault="00C678CC" w:rsidP="00C678CC">
            <w:pPr>
              <w:tabs>
                <w:tab w:val="left" w:pos="317"/>
              </w:tabs>
              <w:suppressAutoHyphens/>
              <w:ind w:left="34"/>
              <w:rPr>
                <w:b/>
                <w:sz w:val="22"/>
                <w:szCs w:val="22"/>
              </w:rPr>
            </w:pPr>
          </w:p>
          <w:p w:rsidR="002306D9" w:rsidRDefault="002306D9" w:rsidP="00943971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Képességei</w:t>
            </w:r>
          </w:p>
          <w:p w:rsidR="00382A67" w:rsidRDefault="00382A67" w:rsidP="00382A67">
            <w:pPr>
              <w:tabs>
                <w:tab w:val="left" w:pos="317"/>
              </w:tabs>
              <w:suppressAutoHyphens/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Képes lesz, ha kezdő szinten is önállóan elemezni a bibliai szövegeket, s kedvet kap a Biblia mélyrehatóbb tanulmányozásához, s képes lesz másokat is elvezetni erre.</w:t>
            </w:r>
          </w:p>
          <w:p w:rsidR="00C678CC" w:rsidRPr="00BB0991" w:rsidRDefault="00C678CC" w:rsidP="00C678CC">
            <w:pPr>
              <w:tabs>
                <w:tab w:val="left" w:pos="317"/>
              </w:tabs>
              <w:suppressAutoHyphens/>
              <w:ind w:left="34"/>
              <w:rPr>
                <w:b/>
                <w:sz w:val="22"/>
                <w:szCs w:val="22"/>
              </w:rPr>
            </w:pPr>
          </w:p>
          <w:p w:rsidR="002306D9" w:rsidRDefault="002306D9" w:rsidP="00BB0991">
            <w:pPr>
              <w:suppressAutoHyphens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c) attitűdje</w:t>
            </w:r>
          </w:p>
          <w:p w:rsidR="002306D9" w:rsidRDefault="002306D9" w:rsidP="00BB0991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382A67">
              <w:rPr>
                <w:b/>
                <w:sz w:val="22"/>
                <w:szCs w:val="22"/>
              </w:rPr>
              <w:t xml:space="preserve">A bibliai szövegek megismerése révén </w:t>
            </w:r>
            <w:r w:rsidR="00E441E1">
              <w:rPr>
                <w:b/>
                <w:sz w:val="22"/>
                <w:szCs w:val="22"/>
              </w:rPr>
              <w:t>növekszik és erősödik a szegényekkel való törődés és irántuk való elköteleződésben. S ehhez a Biblia révén benső tartást is nyer.</w:t>
            </w:r>
          </w:p>
          <w:p w:rsidR="002306D9" w:rsidRPr="00BB0991" w:rsidRDefault="002306D9" w:rsidP="00BB0991">
            <w:pPr>
              <w:suppressAutoHyphens/>
              <w:rPr>
                <w:b/>
                <w:sz w:val="22"/>
                <w:szCs w:val="22"/>
              </w:rPr>
            </w:pPr>
          </w:p>
          <w:p w:rsidR="002306D9" w:rsidRDefault="002306D9" w:rsidP="00943971">
            <w:pPr>
              <w:suppressAutoHyphens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d) autonómiája és felelőssége</w:t>
            </w:r>
          </w:p>
          <w:p w:rsidR="00E441E1" w:rsidRDefault="00E441E1" w:rsidP="00943971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bibliai szövegek segítik abban, hogy Istenre hagyatkozva megőrizze a többségi gondolkodással szembeni autonómiáját éppen a próféták sorsán keresztül, akik maguk is </w:t>
            </w:r>
            <w:r>
              <w:rPr>
                <w:b/>
                <w:sz w:val="22"/>
                <w:szCs w:val="22"/>
              </w:rPr>
              <w:lastRenderedPageBreak/>
              <w:t>kisebbségi vallásosságot képviseltek egy közömbös többséggel szemben. Ugyanakkor növeli felelősségét a peremre szorítottak iránt.</w:t>
            </w:r>
          </w:p>
          <w:p w:rsidR="002306D9" w:rsidRPr="00943971" w:rsidRDefault="002306D9" w:rsidP="00943971">
            <w:pPr>
              <w:suppressAutoHyphens/>
              <w:rPr>
                <w:b/>
                <w:sz w:val="22"/>
                <w:szCs w:val="22"/>
              </w:rPr>
            </w:pPr>
          </w:p>
        </w:tc>
      </w:tr>
    </w:tbl>
    <w:p w:rsidR="002306D9" w:rsidRPr="00403737" w:rsidRDefault="002306D9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2306D9" w:rsidRPr="00403737" w:rsidTr="00733D07">
        <w:trPr>
          <w:trHeight w:val="338"/>
        </w:trPr>
        <w:tc>
          <w:tcPr>
            <w:tcW w:w="9356" w:type="dxa"/>
            <w:tcMar>
              <w:top w:w="57" w:type="dxa"/>
              <w:bottom w:w="57" w:type="dxa"/>
            </w:tcMar>
          </w:tcPr>
          <w:p w:rsidR="002306D9" w:rsidRPr="00403737" w:rsidRDefault="002306D9" w:rsidP="0024083A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felelőse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E441E1">
              <w:rPr>
                <w:b/>
                <w:sz w:val="22"/>
                <w:szCs w:val="22"/>
              </w:rPr>
              <w:t xml:space="preserve">Kocsi György docens, </w:t>
            </w:r>
            <w:proofErr w:type="spellStart"/>
            <w:r w:rsidR="00E441E1">
              <w:rPr>
                <w:b/>
                <w:sz w:val="22"/>
                <w:szCs w:val="22"/>
              </w:rPr>
              <w:t>lic</w:t>
            </w:r>
            <w:proofErr w:type="spellEnd"/>
            <w:r w:rsidR="00E441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441E1">
              <w:rPr>
                <w:b/>
                <w:sz w:val="22"/>
                <w:szCs w:val="22"/>
              </w:rPr>
              <w:t>theol</w:t>
            </w:r>
            <w:proofErr w:type="spellEnd"/>
            <w:r w:rsidR="00E441E1">
              <w:rPr>
                <w:b/>
                <w:sz w:val="22"/>
                <w:szCs w:val="22"/>
              </w:rPr>
              <w:t>.</w:t>
            </w:r>
          </w:p>
        </w:tc>
      </w:tr>
      <w:tr w:rsidR="002306D9" w:rsidRPr="00403737" w:rsidTr="00733D07">
        <w:trPr>
          <w:trHeight w:val="337"/>
        </w:trPr>
        <w:tc>
          <w:tcPr>
            <w:tcW w:w="9356" w:type="dxa"/>
            <w:tcMar>
              <w:top w:w="57" w:type="dxa"/>
              <w:bottom w:w="57" w:type="dxa"/>
            </w:tcMar>
          </w:tcPr>
          <w:p w:rsidR="00C678CC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403737">
              <w:rPr>
                <w:b/>
                <w:sz w:val="22"/>
                <w:szCs w:val="22"/>
              </w:rPr>
              <w:t>oktató(</w:t>
            </w:r>
            <w:proofErr w:type="gramEnd"/>
            <w:r w:rsidRPr="00403737">
              <w:rPr>
                <w:b/>
                <w:sz w:val="22"/>
                <w:szCs w:val="22"/>
              </w:rPr>
              <w:t xml:space="preserve">k), </w:t>
            </w:r>
            <w:r w:rsidRPr="00403737">
              <w:rPr>
                <w:sz w:val="22"/>
                <w:szCs w:val="22"/>
              </w:rPr>
              <w:t>ha van(</w:t>
            </w:r>
            <w:proofErr w:type="spellStart"/>
            <w:r w:rsidRPr="00403737">
              <w:rPr>
                <w:sz w:val="22"/>
                <w:szCs w:val="22"/>
              </w:rPr>
              <w:t>nak</w:t>
            </w:r>
            <w:proofErr w:type="spellEnd"/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sz w:val="22"/>
                <w:szCs w:val="22"/>
              </w:rPr>
              <w:t>:</w:t>
            </w:r>
            <w:r w:rsidR="00C678CC">
              <w:rPr>
                <w:b/>
                <w:sz w:val="22"/>
                <w:szCs w:val="22"/>
              </w:rPr>
              <w:t xml:space="preserve"> </w:t>
            </w:r>
          </w:p>
          <w:p w:rsidR="002306D9" w:rsidRDefault="00C678CC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Kocsi György docens, </w:t>
            </w:r>
            <w:proofErr w:type="spellStart"/>
            <w:r>
              <w:rPr>
                <w:b/>
                <w:sz w:val="22"/>
                <w:szCs w:val="22"/>
              </w:rPr>
              <w:t>lic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theol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2306D9" w:rsidRPr="00403737" w:rsidRDefault="002306D9" w:rsidP="00111FC1">
            <w:pPr>
              <w:suppressAutoHyphens/>
              <w:spacing w:before="60"/>
              <w:ind w:left="708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2306D9" w:rsidRPr="00067151" w:rsidRDefault="002306D9" w:rsidP="00067151">
      <w:pPr>
        <w:suppressAutoHyphens/>
        <w:spacing w:after="120"/>
        <w:jc w:val="both"/>
        <w:rPr>
          <w:rFonts w:cs="Arial"/>
          <w:sz w:val="2"/>
          <w:szCs w:val="2"/>
        </w:rPr>
      </w:pPr>
    </w:p>
    <w:sectPr w:rsidR="002306D9" w:rsidRPr="00067151" w:rsidSect="00CA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12" w:rsidRDefault="00932812" w:rsidP="00932112">
      <w:r>
        <w:separator/>
      </w:r>
    </w:p>
  </w:endnote>
  <w:endnote w:type="continuationSeparator" w:id="0">
    <w:p w:rsidR="00932812" w:rsidRDefault="00932812" w:rsidP="0093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12" w:rsidRDefault="00932812" w:rsidP="00932112">
      <w:r>
        <w:separator/>
      </w:r>
    </w:p>
  </w:footnote>
  <w:footnote w:type="continuationSeparator" w:id="0">
    <w:p w:rsidR="00932812" w:rsidRDefault="00932812" w:rsidP="00932112">
      <w:r>
        <w:continuationSeparator/>
      </w:r>
    </w:p>
  </w:footnote>
  <w:footnote w:id="1">
    <w:p w:rsidR="002306D9" w:rsidRPr="00A5216A" w:rsidRDefault="002306D9" w:rsidP="00932112">
      <w:pPr>
        <w:pStyle w:val="Lbjegyzetszveg"/>
        <w:ind w:left="142" w:hanging="142"/>
        <w:rPr>
          <w:sz w:val="4"/>
          <w:szCs w:val="4"/>
        </w:rPr>
      </w:pPr>
    </w:p>
    <w:p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3CE8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6E776D2"/>
    <w:multiLevelType w:val="hybridMultilevel"/>
    <w:tmpl w:val="6590D7F4"/>
    <w:lvl w:ilvl="0" w:tplc="531CDDC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2"/>
    <w:rsid w:val="000011F7"/>
    <w:rsid w:val="00003B5B"/>
    <w:rsid w:val="000253E5"/>
    <w:rsid w:val="0003723C"/>
    <w:rsid w:val="000445E5"/>
    <w:rsid w:val="00067151"/>
    <w:rsid w:val="00111FC1"/>
    <w:rsid w:val="002306D9"/>
    <w:rsid w:val="0024083A"/>
    <w:rsid w:val="002436B7"/>
    <w:rsid w:val="002F23B0"/>
    <w:rsid w:val="002F3AC6"/>
    <w:rsid w:val="00361DD8"/>
    <w:rsid w:val="00382A67"/>
    <w:rsid w:val="003A3378"/>
    <w:rsid w:val="003A4F21"/>
    <w:rsid w:val="003B0FB2"/>
    <w:rsid w:val="003F3A5C"/>
    <w:rsid w:val="00403737"/>
    <w:rsid w:val="004A1CE6"/>
    <w:rsid w:val="00576C00"/>
    <w:rsid w:val="00585A1B"/>
    <w:rsid w:val="005D0899"/>
    <w:rsid w:val="005F537A"/>
    <w:rsid w:val="00600E87"/>
    <w:rsid w:val="006D29B4"/>
    <w:rsid w:val="00733D07"/>
    <w:rsid w:val="0077772E"/>
    <w:rsid w:val="0078197A"/>
    <w:rsid w:val="007A047B"/>
    <w:rsid w:val="0088065E"/>
    <w:rsid w:val="008F50C3"/>
    <w:rsid w:val="00932112"/>
    <w:rsid w:val="00932812"/>
    <w:rsid w:val="0093505E"/>
    <w:rsid w:val="00943971"/>
    <w:rsid w:val="00A06FA9"/>
    <w:rsid w:val="00A12893"/>
    <w:rsid w:val="00A5216A"/>
    <w:rsid w:val="00B56130"/>
    <w:rsid w:val="00B61B50"/>
    <w:rsid w:val="00B66C92"/>
    <w:rsid w:val="00B731FC"/>
    <w:rsid w:val="00BB0991"/>
    <w:rsid w:val="00C0488F"/>
    <w:rsid w:val="00C678CC"/>
    <w:rsid w:val="00CA1149"/>
    <w:rsid w:val="00CA40DB"/>
    <w:rsid w:val="00CD5314"/>
    <w:rsid w:val="00DD1A7A"/>
    <w:rsid w:val="00DD2A5E"/>
    <w:rsid w:val="00E00E83"/>
    <w:rsid w:val="00E110AD"/>
    <w:rsid w:val="00E161BF"/>
    <w:rsid w:val="00E441E1"/>
    <w:rsid w:val="00F62721"/>
    <w:rsid w:val="00F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0C4AE"/>
  <w15:docId w15:val="{7C08FFD3-0E88-4FA1-871C-10517FF7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2112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93211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93211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32112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uiPriority w:val="99"/>
    <w:rsid w:val="0093211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E161BF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E161BF"/>
    <w:rPr>
      <w:rFonts w:ascii="Times New Roman" w:hAnsi="Times New Roman" w:cs="Times New Roman"/>
      <w:sz w:val="20"/>
      <w:szCs w:val="20"/>
      <w:lang w:eastAsia="hu-HU"/>
    </w:rPr>
  </w:style>
  <w:style w:type="paragraph" w:styleId="Felsorols2">
    <w:name w:val="List Bullet 2"/>
    <w:basedOn w:val="Norml"/>
    <w:autoRedefine/>
    <w:uiPriority w:val="99"/>
    <w:rsid w:val="00CA40DB"/>
    <w:pPr>
      <w:autoSpaceDE w:val="0"/>
      <w:autoSpaceDN w:val="0"/>
      <w:ind w:right="125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CA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1">
    <w:name w:val="ev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folyoirat1">
    <w:name w:val="folyoirat1"/>
    <w:basedOn w:val="Bekezdsalapbettpusa"/>
    <w:uiPriority w:val="99"/>
    <w:rsid w:val="00CA40DB"/>
    <w:rPr>
      <w:rFonts w:cs="Times New Roman"/>
      <w:b/>
      <w:bCs/>
      <w:i/>
      <w:iCs/>
    </w:rPr>
  </w:style>
  <w:style w:type="character" w:customStyle="1" w:styleId="kotet1">
    <w:name w:val="kotet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kiadvaros">
    <w:name w:val="kiadvaros"/>
    <w:basedOn w:val="Bekezdsalapbettpusa"/>
    <w:uiPriority w:val="99"/>
    <w:rsid w:val="00CA40DB"/>
    <w:rPr>
      <w:rFonts w:cs="Times New Roman"/>
    </w:rPr>
  </w:style>
  <w:style w:type="character" w:customStyle="1" w:styleId="kiado">
    <w:name w:val="kiado"/>
    <w:basedOn w:val="Bekezdsalapbettpusa"/>
    <w:uiPriority w:val="99"/>
    <w:rsid w:val="00CA40DB"/>
    <w:rPr>
      <w:rFonts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E110A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110A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cp:lastPrinted>2018-09-03T08:30:00Z</cp:lastPrinted>
  <dcterms:created xsi:type="dcterms:W3CDTF">2019-03-14T13:41:00Z</dcterms:created>
  <dcterms:modified xsi:type="dcterms:W3CDTF">2019-03-14T13:41:00Z</dcterms:modified>
</cp:coreProperties>
</file>